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Наркология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14:10 МСК · База обновлена: 23.07.2026, 14:09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ПОЛИС ОБЯЗАТЕЛЬНОГО МЕДИЦИНСКОГО СТРАХОВАНИЯ ДОЛЖЕН НАХОДИТЬСЯ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руках у застрахованного гражданина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страховой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посту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врача в ординаторской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руках у застрахованного гражданина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 ЦЕЛЬЮ РАННЕГО ВЫЯВЛЕНИЯ ФАКТОРОВ РИСКА УПОТРЕБЛЕНИЯ ПСИХОАКТИВНЫХ ВЕЩЕСТВ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семейное консультирование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лекции, беседы, конференции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массовые, групповые, индивидуальные опросы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обучающие мероприятия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массовые, групповые, индивидуальные опросы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ПСИХОЛОГИЧЕСКАЯ ЗАВИСИМОСТЬ ОТ ПРИЕМА НАРКОТИЧЕСКОГО ВЕЩЕСТВА ПРОЯВЛЯЕТСЯ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настойчивым влечением повторить прием наркотического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абстиненцией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развитием толерантности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тенденцией к увеличению принимаемой дозы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настойчивым влечением повторить прием наркотического вещества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РАЗВИТИИ АЛКОГОЛИЗМА У ЖЕНЩИН ПРЕИМУЩЕСТВЕННОЕ ЗНАЧЕНИЕ ИМЕЕТ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семейная неустроенность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постоянного места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гипотиреоз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семейная неустроенность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АЛКОГОЛЬНОЙ ДЕГРАДАЦИИ НАИБОЛЕЕ СПЕЦИФИЧНЫМ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утрату критического отношения к злоупотреблению алкоголем и самому себе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психопатоподобные симптомы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аффективные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морально-этическое снижение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морально-этическое снижение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ПРИЗНАКИ, ХАРАКТЕРИЗУЮЩИЕ ЗАЩИТНЫЕ РЕАКЦИИ ОРГАНИЗМА ПРИ ИНТОКСИКАЦИИ ЭТАНОЛОМ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зуд кожи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возбуждение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тошнота, рвота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тошнота, рвота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ПРОВЕРКА ЭФФЕКТИВНОСТИ РАБОТЫ, ТЕКУЩИЕ РЕМОНТЫ, ОЧИСТКА И ДЕЗИНФЕКЦИЯ СИСТЕМ МЕХАНИЧЕСКОЙ ПРИТОЧНО-ВЫТЯЖНОЙ ВЕНТИЛЯЦИИ И КОНДИЦИОНИРОВАНИЯ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раз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квартал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один раз в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ЭПИЛЕПТОИДНОЙ ФОРМЫ ПАТОЛОГИЧЕСКОГО ОПЬЯНЕНИЯ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связи поведения с происходящей ситуацией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угнетение мышечной и болевой 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состояние суженого сознания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интенсивное двигательное возбуждение в форме бессмысленных,  хаотических и агрессивных действий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интенсивное двигательное возбуждение в форме бессмысленных,  хаотических и агрессивных действий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НОРМЕ ОТНОСИТЕЛЬНАЯ ПЛОТНОСТЬ МОЧИ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1,005-1,035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1,004-1,020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1,008-1,025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1,005-1,015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1,008-1,025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 ОСНОВАНИИ СВЕДЕНИЙ О ПРОХОЖДЕНИИ ГРАЖДАНИНОМ ПРОФИЛАКТИЧЕСКОГО МЕДИЦИНСКОГО ОСМОТРА И (ИЛИ) ДИСПАНСЕРИЗАЦИИ МЕДИЦИНСКИМ РАБОТНИКОМ ЗАПОЛНЯЕТСЯ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карта учета диспансеризации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выписка по результатам осмотра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справка о прохождении профилактического медицинского осмотра и (или) диспансеризации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талон амбулаторного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карта учета диспансеризации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Наркология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